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7208" w14:textId="19E38958" w:rsidR="008D1EAA" w:rsidRPr="008D1EAA" w:rsidRDefault="008D1EAA" w:rsidP="008D1EAA">
      <w:pPr>
        <w:jc w:val="right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Утвърждавам:</w:t>
      </w:r>
    </w:p>
    <w:p w14:paraId="6BFAF0A4" w14:textId="77777777" w:rsidR="00FC2551" w:rsidRDefault="008D1EAA" w:rsidP="008D1EAA">
      <w:pPr>
        <w:jc w:val="right"/>
        <w:rPr>
          <w:rFonts w:ascii="Arial Narrow" w:hAnsi="Arial Narrow"/>
          <w:sz w:val="24"/>
          <w:szCs w:val="24"/>
          <w:lang w:val="en-US"/>
        </w:rPr>
      </w:pPr>
      <w:r w:rsidRPr="008D1EAA">
        <w:rPr>
          <w:rFonts w:ascii="Arial Narrow" w:hAnsi="Arial Narrow"/>
          <w:sz w:val="24"/>
          <w:szCs w:val="24"/>
        </w:rPr>
        <w:t xml:space="preserve">Борислава Хаджийска, </w:t>
      </w:r>
    </w:p>
    <w:p w14:paraId="7EE893B7" w14:textId="4BEA0627" w:rsidR="008D1EAA" w:rsidRPr="008D1EAA" w:rsidRDefault="008D1EAA" w:rsidP="008D1EAA">
      <w:pPr>
        <w:jc w:val="right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директор</w:t>
      </w:r>
    </w:p>
    <w:p w14:paraId="79D2751B" w14:textId="77777777" w:rsidR="008D1EAA" w:rsidRPr="008D1EAA" w:rsidRDefault="008D1EAA" w:rsidP="008D1EAA">
      <w:pPr>
        <w:jc w:val="right"/>
        <w:rPr>
          <w:rFonts w:ascii="Arial Narrow" w:hAnsi="Arial Narrow"/>
          <w:b/>
          <w:bCs/>
        </w:rPr>
      </w:pPr>
    </w:p>
    <w:p w14:paraId="7FB2EA4D" w14:textId="62C12B96" w:rsidR="008D1EAA" w:rsidRPr="008D1EAA" w:rsidRDefault="008D1EAA" w:rsidP="008D1E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D1EAA">
        <w:rPr>
          <w:rFonts w:ascii="Arial Narrow" w:hAnsi="Arial Narrow"/>
          <w:b/>
          <w:bCs/>
          <w:sz w:val="24"/>
          <w:szCs w:val="24"/>
        </w:rPr>
        <w:t>И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>Н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>С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>Т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>Р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>У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>К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>Т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>А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>Ж</w:t>
      </w:r>
    </w:p>
    <w:p w14:paraId="4A167D96" w14:textId="752C97BB" w:rsidR="008D1EAA" w:rsidRPr="008D1EAA" w:rsidRDefault="008D1EAA" w:rsidP="008D1E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D1EAA">
        <w:rPr>
          <w:rFonts w:ascii="Arial Narrow" w:hAnsi="Arial Narrow"/>
          <w:b/>
          <w:bCs/>
          <w:sz w:val="24"/>
          <w:szCs w:val="24"/>
        </w:rPr>
        <w:t xml:space="preserve">за </w:t>
      </w:r>
      <w:r w:rsidR="00FC2551">
        <w:rPr>
          <w:rFonts w:ascii="Arial Narrow" w:hAnsi="Arial Narrow"/>
          <w:b/>
          <w:bCs/>
          <w:sz w:val="24"/>
          <w:szCs w:val="24"/>
        </w:rPr>
        <w:t>педагогически и непедагогически специалисти</w:t>
      </w:r>
      <w:r w:rsidRPr="008D1EAA">
        <w:rPr>
          <w:rFonts w:ascii="Arial Narrow" w:hAnsi="Arial Narrow"/>
          <w:b/>
          <w:bCs/>
          <w:sz w:val="24"/>
          <w:szCs w:val="24"/>
        </w:rPr>
        <w:t>, участващи в осъществяването на пропускателния режим</w:t>
      </w:r>
      <w:r w:rsidR="00FC255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1EAA">
        <w:rPr>
          <w:rFonts w:ascii="Arial Narrow" w:hAnsi="Arial Narrow"/>
          <w:b/>
          <w:bCs/>
          <w:sz w:val="24"/>
          <w:szCs w:val="24"/>
        </w:rPr>
        <w:t xml:space="preserve">в </w:t>
      </w:r>
      <w:r>
        <w:rPr>
          <w:rFonts w:ascii="Arial Narrow" w:hAnsi="Arial Narrow"/>
          <w:b/>
          <w:bCs/>
          <w:sz w:val="24"/>
          <w:szCs w:val="24"/>
        </w:rPr>
        <w:t>Професионална гимназия по туризъм</w:t>
      </w:r>
      <w:r w:rsidR="00FC2551">
        <w:rPr>
          <w:rFonts w:ascii="Arial Narrow" w:hAnsi="Arial Narrow"/>
          <w:b/>
          <w:bCs/>
          <w:sz w:val="24"/>
          <w:szCs w:val="24"/>
        </w:rPr>
        <w:t>,</w:t>
      </w:r>
      <w:r>
        <w:rPr>
          <w:rFonts w:ascii="Arial Narrow" w:hAnsi="Arial Narrow"/>
          <w:b/>
          <w:bCs/>
          <w:sz w:val="24"/>
          <w:szCs w:val="24"/>
        </w:rPr>
        <w:t xml:space="preserve"> гр. Самоков</w:t>
      </w:r>
    </w:p>
    <w:p w14:paraId="69EB9578" w14:textId="127F4470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1. Да се проявява завишена бдителност по отношение на действията и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поведението на външни посетители в училище.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Да не се допускат посетители без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проверка и потвърдена ангажираност, вк</w:t>
      </w:r>
      <w:r>
        <w:rPr>
          <w:rFonts w:ascii="Arial Narrow" w:hAnsi="Arial Narrow"/>
          <w:sz w:val="24"/>
          <w:szCs w:val="24"/>
        </w:rPr>
        <w:t>л</w:t>
      </w:r>
      <w:r w:rsidRPr="008D1EAA">
        <w:rPr>
          <w:rFonts w:ascii="Arial Narrow" w:hAnsi="Arial Narrow"/>
          <w:sz w:val="24"/>
          <w:szCs w:val="24"/>
        </w:rPr>
        <w:t>ючително и изпълнителите по договор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за ремонтна дейност.</w:t>
      </w:r>
    </w:p>
    <w:p w14:paraId="51BF2238" w14:textId="347A778E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2. В сградата на училището се допускат външни лица след проверка и вписването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им в регистър / с отбелязване на датата, имената, документа им за самоличност,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час на влизане и час на излизане и при кого е било лицето /.</w:t>
      </w:r>
    </w:p>
    <w:p w14:paraId="343DD449" w14:textId="4AC5D0A7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3. В случай, че установят присъствие на непознати, безцелно движещи се хора или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лица със съмнително поведение в сградата на гимназията и / или прилежащите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й дворни площи,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незабавно да уведомят ръководството на училището или да се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 xml:space="preserve">обадят на ОДЧ /оперативна дежурна част / на РУ „Полиция” – </w:t>
      </w:r>
      <w:r>
        <w:rPr>
          <w:rFonts w:ascii="Arial Narrow" w:hAnsi="Arial Narrow"/>
          <w:sz w:val="24"/>
          <w:szCs w:val="24"/>
        </w:rPr>
        <w:t>гр. Самоков</w:t>
      </w:r>
      <w:r w:rsidRPr="008D1EAA">
        <w:rPr>
          <w:rFonts w:ascii="Arial Narrow" w:hAnsi="Arial Narrow"/>
          <w:sz w:val="24"/>
          <w:szCs w:val="24"/>
        </w:rPr>
        <w:t xml:space="preserve"> чрез тел.112 или тел. 166, за да се предприемат:</w:t>
      </w:r>
    </w:p>
    <w:p w14:paraId="4305CD76" w14:textId="77777777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а. щателна проверка за установяване на самоличността на лицето;</w:t>
      </w:r>
    </w:p>
    <w:p w14:paraId="780EB360" w14:textId="6C780ABB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б. проверка на вещи и предмети, представляващи потенциална опасност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в това число за оръжие, боеприпаси, взривни, токсични и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силно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действащи химични вещества.</w:t>
      </w:r>
    </w:p>
    <w:p w14:paraId="77A5ADA2" w14:textId="079C3C72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4. При получаване на информация за поставено самоделно взривно устройство или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за подготовка за такава дейност, незабавно тя да се предава точно, конкретно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по реда на т.2. Тази информация трябва да съдържа:</w:t>
      </w:r>
    </w:p>
    <w:p w14:paraId="2A0320CE" w14:textId="77777777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а. данни за. придобиването й;</w:t>
      </w:r>
    </w:p>
    <w:p w14:paraId="3C1357CB" w14:textId="61711F28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б. данни за вида, местоположението и особеностите на предмета и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обкръжението му.</w:t>
      </w:r>
    </w:p>
    <w:p w14:paraId="71C7A1F0" w14:textId="1152BEA7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5. Обслужващият персонал да осъществява постоянен контрол за наличието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на оставени без надзор обемисти предмети, пакети, чанти, куфари, торби,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безстопанствен багаж и други подобни в класните стаи, кабинетите,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сервизните помещения, санитарните възли, коридори и т.н.</w:t>
      </w:r>
    </w:p>
    <w:p w14:paraId="1D727956" w14:textId="31A73889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6. След приключване на работния ден задължително да се прави щателен оглед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на всички помещения за наличие на вещи и предмети, които представляват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потенциална опасност.</w:t>
      </w:r>
    </w:p>
    <w:p w14:paraId="7FD54A4E" w14:textId="2F8AEDE6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7. При приемане на пощенска пратка да се извършва контрол - с цел недопускане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оставянето или поставянето на вещи и предмети, представляващи опасност от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какъвто и да е характер.</w:t>
      </w:r>
    </w:p>
    <w:p w14:paraId="26C8E71C" w14:textId="69BB7661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8. Категорично се забранява приемането на не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адресирани или съмнителни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пратки, писма, пакети и други подобни.</w:t>
      </w:r>
    </w:p>
    <w:p w14:paraId="7EC817B8" w14:textId="06ECE6C0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9. Да се проявява бдителност за наличие на съмнителни пакети във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 xml:space="preserve">вентилационните шахти, </w:t>
      </w:r>
      <w:proofErr w:type="spellStart"/>
      <w:r w:rsidRPr="008D1EAA">
        <w:rPr>
          <w:rFonts w:ascii="Arial Narrow" w:hAnsi="Arial Narrow"/>
          <w:sz w:val="24"/>
          <w:szCs w:val="24"/>
        </w:rPr>
        <w:t>подстълбищните</w:t>
      </w:r>
      <w:proofErr w:type="spellEnd"/>
      <w:r w:rsidRPr="008D1EAA">
        <w:rPr>
          <w:rFonts w:ascii="Arial Narrow" w:hAnsi="Arial Narrow"/>
          <w:sz w:val="24"/>
          <w:szCs w:val="24"/>
        </w:rPr>
        <w:t xml:space="preserve"> помещения и други части на сградата.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При откриване на такива незабавно да се уведомява ръководството на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 xml:space="preserve">училището или ОДЧ /оперативна дежурна част / на РУ „Полиция” – </w:t>
      </w:r>
      <w:r>
        <w:rPr>
          <w:rFonts w:ascii="Arial Narrow" w:hAnsi="Arial Narrow"/>
          <w:sz w:val="24"/>
          <w:szCs w:val="24"/>
        </w:rPr>
        <w:t>гр. Самоков</w:t>
      </w:r>
      <w:r w:rsidRPr="008D1EAA">
        <w:rPr>
          <w:rFonts w:ascii="Arial Narrow" w:hAnsi="Arial Narrow"/>
          <w:sz w:val="24"/>
          <w:szCs w:val="24"/>
        </w:rPr>
        <w:t xml:space="preserve"> чрез тел.112.</w:t>
      </w:r>
    </w:p>
    <w:p w14:paraId="69A22BE6" w14:textId="5B9DF5FB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lastRenderedPageBreak/>
        <w:t>10. Регулярно да се проверяват аварийните изходи и да не се допуска наличие на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излишни материали в коридорите и общите помещения.</w:t>
      </w:r>
    </w:p>
    <w:p w14:paraId="58F0FECD" w14:textId="1C901A73" w:rsidR="008D1EAA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11. При евакуация / принудително извеждане / активно да участват и да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подпомагат ръководството на гимназията в него според определените им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>предварително задачи.</w:t>
      </w:r>
    </w:p>
    <w:p w14:paraId="13BAB9EA" w14:textId="76763EEB" w:rsidR="00467183" w:rsidRPr="008D1EAA" w:rsidRDefault="008D1EAA" w:rsidP="00FC2551">
      <w:pPr>
        <w:jc w:val="both"/>
        <w:rPr>
          <w:rFonts w:ascii="Arial Narrow" w:hAnsi="Arial Narrow"/>
          <w:sz w:val="24"/>
          <w:szCs w:val="24"/>
        </w:rPr>
      </w:pPr>
      <w:r w:rsidRPr="008D1EAA">
        <w:rPr>
          <w:rFonts w:ascii="Arial Narrow" w:hAnsi="Arial Narrow"/>
          <w:sz w:val="24"/>
          <w:szCs w:val="24"/>
        </w:rPr>
        <w:t>12. При необходимост да се търси помощ от ръководството на гимназията или РУ „</w:t>
      </w:r>
      <w:r>
        <w:rPr>
          <w:rFonts w:ascii="Arial Narrow" w:hAnsi="Arial Narrow"/>
          <w:sz w:val="24"/>
          <w:szCs w:val="24"/>
        </w:rPr>
        <w:t xml:space="preserve"> </w:t>
      </w:r>
      <w:r w:rsidRPr="008D1EAA">
        <w:rPr>
          <w:rFonts w:ascii="Arial Narrow" w:hAnsi="Arial Narrow"/>
          <w:sz w:val="24"/>
          <w:szCs w:val="24"/>
        </w:rPr>
        <w:t xml:space="preserve">Полиция” – </w:t>
      </w:r>
      <w:r>
        <w:rPr>
          <w:rFonts w:ascii="Arial Narrow" w:hAnsi="Arial Narrow"/>
          <w:sz w:val="24"/>
          <w:szCs w:val="24"/>
        </w:rPr>
        <w:t>гр. Самоков</w:t>
      </w:r>
      <w:r w:rsidRPr="008D1EAA">
        <w:rPr>
          <w:rFonts w:ascii="Arial Narrow" w:hAnsi="Arial Narrow"/>
          <w:sz w:val="24"/>
          <w:szCs w:val="24"/>
        </w:rPr>
        <w:t>.</w:t>
      </w:r>
    </w:p>
    <w:sectPr w:rsidR="00467183" w:rsidRPr="008D1EAA" w:rsidSect="00FC2551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0478" w14:textId="77777777" w:rsidR="008D1EAA" w:rsidRDefault="008D1EAA" w:rsidP="008D1EAA">
      <w:pPr>
        <w:spacing w:after="0" w:line="240" w:lineRule="auto"/>
      </w:pPr>
      <w:r>
        <w:separator/>
      </w:r>
    </w:p>
  </w:endnote>
  <w:endnote w:type="continuationSeparator" w:id="0">
    <w:p w14:paraId="1E50A12B" w14:textId="77777777" w:rsidR="008D1EAA" w:rsidRDefault="008D1EAA" w:rsidP="008D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D395" w14:textId="77777777" w:rsidR="008D1EAA" w:rsidRDefault="008D1EAA" w:rsidP="008D1EAA">
      <w:pPr>
        <w:spacing w:after="0" w:line="240" w:lineRule="auto"/>
      </w:pPr>
      <w:r>
        <w:separator/>
      </w:r>
    </w:p>
  </w:footnote>
  <w:footnote w:type="continuationSeparator" w:id="0">
    <w:p w14:paraId="11E419F5" w14:textId="77777777" w:rsidR="008D1EAA" w:rsidRDefault="008D1EAA" w:rsidP="008D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234A" w14:textId="77777777" w:rsidR="008D1EAA" w:rsidRPr="008D1EAA" w:rsidRDefault="008D1EAA" w:rsidP="008D1EAA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8D1EAA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6080E752" wp14:editId="4C3723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396955025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EAA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289D8DA6" w14:textId="77777777" w:rsidR="008D1EAA" w:rsidRPr="008D1EAA" w:rsidRDefault="008D1EAA" w:rsidP="008D1EAA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8D1EAA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8D1EAA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8D1EAA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8D1EAA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3F4FE2E2" w14:textId="77777777" w:rsidR="008D1EAA" w:rsidRPr="008D1EAA" w:rsidRDefault="008D1EAA" w:rsidP="008D1EAA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8D1EAA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8D1EAA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8D1EAA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8D1EAA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8D1EAA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8D1EAA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8D1EAA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8D1EAA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8D1EAA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8D1EAA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8D1EAA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proofErr w:type="spellStart"/>
      <w:r w:rsidRPr="008D1EAA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  <w:proofErr w:type="spellEnd"/>
    </w:hyperlink>
    <w:r w:rsidRPr="008D1EAA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76BFE02D" w14:textId="77777777" w:rsidR="008D1EAA" w:rsidRPr="008D1EAA" w:rsidRDefault="008D1EAA" w:rsidP="008D1EAA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8D1EAA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8D1EAA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8D1EAA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8D1EAA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8D1EAA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8D1EAA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8D1EAA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3A0803A7" w14:textId="77777777" w:rsidR="008D1EAA" w:rsidRPr="00E56C9C" w:rsidRDefault="008D1EAA" w:rsidP="008D1EAA">
    <w:pPr>
      <w:pStyle w:val="a3"/>
      <w:rPr>
        <w:rFonts w:ascii="Arial Narrow" w:hAnsi="Arial Narrow"/>
      </w:rPr>
    </w:pPr>
  </w:p>
  <w:p w14:paraId="25546A0E" w14:textId="77777777" w:rsidR="008D1EAA" w:rsidRDefault="008D1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AA"/>
    <w:rsid w:val="00467183"/>
    <w:rsid w:val="008D1EAA"/>
    <w:rsid w:val="00ED6569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C374"/>
  <w15:chartTrackingRefBased/>
  <w15:docId w15:val="{618546A4-3797-4151-B5D5-D279CB4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D1EAA"/>
  </w:style>
  <w:style w:type="paragraph" w:styleId="a5">
    <w:name w:val="footer"/>
    <w:basedOn w:val="a"/>
    <w:link w:val="a6"/>
    <w:uiPriority w:val="99"/>
    <w:unhideWhenUsed/>
    <w:rsid w:val="008D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D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2024-11-12T07:28:00Z</cp:lastPrinted>
  <dcterms:created xsi:type="dcterms:W3CDTF">2024-11-12T13:09:00Z</dcterms:created>
  <dcterms:modified xsi:type="dcterms:W3CDTF">2024-11-12T13:09:00Z</dcterms:modified>
</cp:coreProperties>
</file>